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817AE" w14:textId="6B679BEB" w:rsidR="00CF20A4" w:rsidRDefault="5DA8AB47" w:rsidP="5727EA6E">
      <w:pPr>
        <w:jc w:val="center"/>
        <w:rPr>
          <w:b/>
          <w:bCs/>
          <w:sz w:val="28"/>
          <w:szCs w:val="28"/>
        </w:rPr>
      </w:pPr>
      <w:r w:rsidRPr="5727EA6E">
        <w:rPr>
          <w:b/>
          <w:bCs/>
          <w:sz w:val="28"/>
          <w:szCs w:val="28"/>
        </w:rPr>
        <w:t>Доклад к ВКР на тему Зарубежный опыт инвес</w:t>
      </w:r>
      <w:r w:rsidR="11E3AAEA" w:rsidRPr="5727EA6E">
        <w:rPr>
          <w:b/>
          <w:bCs/>
          <w:sz w:val="28"/>
          <w:szCs w:val="28"/>
        </w:rPr>
        <w:t>тиционной деятельности и его использование в России</w:t>
      </w:r>
    </w:p>
    <w:tbl>
      <w:tblPr>
        <w:tblStyle w:val="a3"/>
        <w:tblW w:w="0" w:type="auto"/>
        <w:tblLook w:val="06A0" w:firstRow="1" w:lastRow="0" w:firstColumn="1" w:lastColumn="0" w:noHBand="1" w:noVBand="1"/>
      </w:tblPr>
      <w:tblGrid>
        <w:gridCol w:w="1725"/>
        <w:gridCol w:w="7290"/>
      </w:tblGrid>
      <w:tr w:rsidR="5727EA6E" w14:paraId="00ECFE45" w14:textId="77777777" w:rsidTr="5064B1A6">
        <w:trPr>
          <w:trHeight w:val="300"/>
        </w:trPr>
        <w:tc>
          <w:tcPr>
            <w:tcW w:w="1725" w:type="dxa"/>
          </w:tcPr>
          <w:p w14:paraId="2BFBC749" w14:textId="4D22E266" w:rsidR="33B8C160" w:rsidRDefault="33B8C160" w:rsidP="5727EA6E">
            <w:pPr>
              <w:rPr>
                <w:b/>
                <w:bCs/>
                <w:sz w:val="28"/>
                <w:szCs w:val="28"/>
              </w:rPr>
            </w:pPr>
            <w:r w:rsidRPr="5727EA6E">
              <w:rPr>
                <w:b/>
                <w:bCs/>
                <w:sz w:val="28"/>
                <w:szCs w:val="28"/>
              </w:rPr>
              <w:t>Слайд 1</w:t>
            </w:r>
          </w:p>
        </w:tc>
        <w:tc>
          <w:tcPr>
            <w:tcW w:w="7290" w:type="dxa"/>
          </w:tcPr>
          <w:p w14:paraId="128748A2" w14:textId="5F544861" w:rsidR="33B8C160" w:rsidRDefault="33B8C160" w:rsidP="5727EA6E">
            <w:pPr>
              <w:rPr>
                <w:sz w:val="28"/>
                <w:szCs w:val="28"/>
              </w:rPr>
            </w:pPr>
            <w:r w:rsidRPr="5727EA6E">
              <w:rPr>
                <w:sz w:val="28"/>
                <w:szCs w:val="28"/>
              </w:rPr>
              <w:t xml:space="preserve">Добрый день, уважаемые члены государственной экзаменационной комиссии! Вашему вниманию представляется выпускная квалификационная работа на тему </w:t>
            </w:r>
            <w:r w:rsidR="6C594A87" w:rsidRPr="5727EA6E">
              <w:rPr>
                <w:rFonts w:ascii="Times New Roman" w:eastAsia="Times New Roman" w:hAnsi="Times New Roman" w:cs="Times New Roman"/>
                <w:sz w:val="28"/>
                <w:szCs w:val="28"/>
              </w:rPr>
              <w:t>«Зарубежный опыт инвестиционной деятельности и его использование в России»</w:t>
            </w:r>
            <w:r w:rsidR="32149D41" w:rsidRPr="5727EA6E">
              <w:rPr>
                <w:rFonts w:ascii="Times New Roman" w:eastAsia="Times New Roman" w:hAnsi="Times New Roman" w:cs="Times New Roman"/>
                <w:sz w:val="28"/>
                <w:szCs w:val="28"/>
              </w:rPr>
              <w:t>.</w:t>
            </w:r>
          </w:p>
        </w:tc>
      </w:tr>
      <w:tr w:rsidR="5727EA6E" w14:paraId="30F93E63" w14:textId="77777777" w:rsidTr="5064B1A6">
        <w:trPr>
          <w:trHeight w:val="300"/>
        </w:trPr>
        <w:tc>
          <w:tcPr>
            <w:tcW w:w="1725" w:type="dxa"/>
          </w:tcPr>
          <w:p w14:paraId="5CC78C9C" w14:textId="1B541E55" w:rsidR="33B8C160" w:rsidRDefault="6BFE30BA" w:rsidP="5727EA6E">
            <w:pPr>
              <w:rPr>
                <w:b/>
                <w:bCs/>
                <w:sz w:val="28"/>
                <w:szCs w:val="28"/>
              </w:rPr>
            </w:pPr>
            <w:r w:rsidRPr="5064B1A6">
              <w:rPr>
                <w:b/>
                <w:bCs/>
                <w:sz w:val="28"/>
                <w:szCs w:val="28"/>
              </w:rPr>
              <w:t xml:space="preserve">Слайд </w:t>
            </w:r>
            <w:r w:rsidR="6D978928" w:rsidRPr="5064B1A6">
              <w:rPr>
                <w:b/>
                <w:bCs/>
                <w:sz w:val="28"/>
                <w:szCs w:val="28"/>
              </w:rPr>
              <w:t>2</w:t>
            </w:r>
          </w:p>
        </w:tc>
        <w:tc>
          <w:tcPr>
            <w:tcW w:w="7290" w:type="dxa"/>
          </w:tcPr>
          <w:p w14:paraId="53BDA232" w14:textId="7F0AF4DB" w:rsidR="3E933C20" w:rsidRDefault="00304811" w:rsidP="5727EA6E">
            <w:pPr>
              <w:rPr>
                <w:sz w:val="28"/>
                <w:szCs w:val="28"/>
              </w:rPr>
            </w:pPr>
            <w:r w:rsidRPr="5727EA6E">
              <w:rPr>
                <w:rFonts w:eastAsiaTheme="minorEastAsia"/>
                <w:sz w:val="28"/>
                <w:szCs w:val="28"/>
              </w:rPr>
              <w:t>Актуальность темы обусловлена тем, что стабильное развитие российских регионов сегодня невозможно без эффективной инвестиционной политики. Изучение и адаптация успешных зарубежных механизмов напрямую способствуют достижению государственных приоритетов: от технологического суверенитета до инвестиционной независимости страны. Особый интерес представляет внедрение этого опыта в стратегически важных, но удаленных регионах России. В связи с этим, практическая часть исследования выполнена на материалах Камчатского края, обладающего колоссальным, но еще не полностью реализованным инвестиционным и туристическим потенциалом.</w:t>
            </w:r>
          </w:p>
        </w:tc>
      </w:tr>
      <w:tr w:rsidR="5727EA6E" w14:paraId="73CA8E6E" w14:textId="77777777" w:rsidTr="5064B1A6">
        <w:trPr>
          <w:trHeight w:val="300"/>
        </w:trPr>
        <w:tc>
          <w:tcPr>
            <w:tcW w:w="1725" w:type="dxa"/>
          </w:tcPr>
          <w:p w14:paraId="6044B4DE" w14:textId="42E19175" w:rsidR="33B8C160" w:rsidRDefault="6BFE30BA" w:rsidP="5727EA6E">
            <w:pPr>
              <w:rPr>
                <w:b/>
                <w:bCs/>
                <w:sz w:val="28"/>
                <w:szCs w:val="28"/>
              </w:rPr>
            </w:pPr>
            <w:r w:rsidRPr="5064B1A6">
              <w:rPr>
                <w:b/>
                <w:bCs/>
                <w:sz w:val="28"/>
                <w:szCs w:val="28"/>
              </w:rPr>
              <w:t xml:space="preserve">Слайд </w:t>
            </w:r>
            <w:r w:rsidR="135862E9" w:rsidRPr="5064B1A6">
              <w:rPr>
                <w:b/>
                <w:bCs/>
                <w:sz w:val="28"/>
                <w:szCs w:val="28"/>
              </w:rPr>
              <w:t>3</w:t>
            </w:r>
          </w:p>
        </w:tc>
        <w:tc>
          <w:tcPr>
            <w:tcW w:w="7290" w:type="dxa"/>
          </w:tcPr>
          <w:p w14:paraId="3E30039E" w14:textId="077D5BE2" w:rsidR="30DC0BC8" w:rsidRDefault="3F76A758" w:rsidP="5727EA6E">
            <w:pPr>
              <w:rPr>
                <w:rFonts w:eastAsiaTheme="minorEastAsia"/>
                <w:sz w:val="28"/>
                <w:szCs w:val="28"/>
              </w:rPr>
            </w:pPr>
            <w:r w:rsidRPr="5064B1A6">
              <w:rPr>
                <w:rFonts w:eastAsiaTheme="minorEastAsia"/>
                <w:sz w:val="28"/>
                <w:szCs w:val="28"/>
              </w:rPr>
              <w:t xml:space="preserve">В первой главе </w:t>
            </w:r>
            <w:r w:rsidR="00304811">
              <w:rPr>
                <w:rFonts w:eastAsiaTheme="minorEastAsia"/>
                <w:sz w:val="28"/>
                <w:szCs w:val="28"/>
              </w:rPr>
              <w:t>моей</w:t>
            </w:r>
            <w:r w:rsidRPr="5064B1A6">
              <w:rPr>
                <w:rFonts w:eastAsiaTheme="minorEastAsia"/>
                <w:sz w:val="28"/>
                <w:szCs w:val="28"/>
              </w:rPr>
              <w:t xml:space="preserve"> работы </w:t>
            </w:r>
            <w:r w:rsidR="00304811">
              <w:rPr>
                <w:rFonts w:eastAsiaTheme="minorEastAsia"/>
                <w:sz w:val="28"/>
                <w:szCs w:val="28"/>
              </w:rPr>
              <w:t>я</w:t>
            </w:r>
            <w:r w:rsidRPr="5064B1A6">
              <w:rPr>
                <w:rFonts w:eastAsiaTheme="minorEastAsia"/>
                <w:sz w:val="28"/>
                <w:szCs w:val="28"/>
              </w:rPr>
              <w:t xml:space="preserve"> изуч</w:t>
            </w:r>
            <w:r w:rsidR="00304811">
              <w:rPr>
                <w:rFonts w:eastAsiaTheme="minorEastAsia"/>
                <w:sz w:val="28"/>
                <w:szCs w:val="28"/>
              </w:rPr>
              <w:t>ал</w:t>
            </w:r>
            <w:r w:rsidRPr="5064B1A6">
              <w:rPr>
                <w:rFonts w:eastAsiaTheme="minorEastAsia"/>
                <w:sz w:val="28"/>
                <w:szCs w:val="28"/>
              </w:rPr>
              <w:t xml:space="preserve"> сущность инвестиционной деятельности, </w:t>
            </w:r>
            <w:r w:rsidR="21DA7548" w:rsidRPr="5064B1A6">
              <w:rPr>
                <w:rFonts w:eastAsiaTheme="minorEastAsia"/>
                <w:sz w:val="28"/>
                <w:szCs w:val="28"/>
              </w:rPr>
              <w:t xml:space="preserve">механизмы и инструменты развития </w:t>
            </w:r>
            <w:r w:rsidR="02999A30" w:rsidRPr="5064B1A6">
              <w:rPr>
                <w:rFonts w:eastAsiaTheme="minorEastAsia"/>
                <w:sz w:val="28"/>
                <w:szCs w:val="28"/>
              </w:rPr>
              <w:t>экономического</w:t>
            </w:r>
            <w:r w:rsidR="21DA7548" w:rsidRPr="5064B1A6">
              <w:rPr>
                <w:rFonts w:eastAsiaTheme="minorEastAsia"/>
                <w:sz w:val="28"/>
                <w:szCs w:val="28"/>
              </w:rPr>
              <w:t xml:space="preserve"> </w:t>
            </w:r>
            <w:r w:rsidR="68AACB37" w:rsidRPr="5064B1A6">
              <w:rPr>
                <w:rFonts w:eastAsiaTheme="minorEastAsia"/>
                <w:sz w:val="28"/>
                <w:szCs w:val="28"/>
              </w:rPr>
              <w:t xml:space="preserve">потенциала и соответствующую нормативно правовую базу, что позволило </w:t>
            </w:r>
            <w:r w:rsidR="00304811">
              <w:rPr>
                <w:rFonts w:eastAsiaTheme="minorEastAsia"/>
                <w:sz w:val="28"/>
                <w:szCs w:val="28"/>
              </w:rPr>
              <w:t>мне</w:t>
            </w:r>
            <w:r w:rsidR="68AACB37" w:rsidRPr="5064B1A6">
              <w:rPr>
                <w:rFonts w:eastAsiaTheme="minorEastAsia"/>
                <w:sz w:val="28"/>
                <w:szCs w:val="28"/>
              </w:rPr>
              <w:t xml:space="preserve"> сделать сле</w:t>
            </w:r>
            <w:r w:rsidR="7E603BBE" w:rsidRPr="5064B1A6">
              <w:rPr>
                <w:rFonts w:eastAsiaTheme="minorEastAsia"/>
                <w:sz w:val="28"/>
                <w:szCs w:val="28"/>
              </w:rPr>
              <w:t xml:space="preserve">дующие выводы: </w:t>
            </w:r>
            <w:r w:rsidR="365320CB" w:rsidRPr="5064B1A6">
              <w:rPr>
                <w:rFonts w:eastAsiaTheme="minorEastAsia"/>
                <w:sz w:val="28"/>
                <w:szCs w:val="28"/>
              </w:rPr>
              <w:t xml:space="preserve">действующая нормативно-правовая база нацелена на создание единых стандартов поддержки, оставляя регионам право создавать гибкие внутренние механизмы поддержки предпринимательской активности, </w:t>
            </w:r>
            <w:r w:rsidR="57C2DFED" w:rsidRPr="5064B1A6">
              <w:rPr>
                <w:rFonts w:eastAsiaTheme="minorEastAsia"/>
                <w:sz w:val="28"/>
                <w:szCs w:val="28"/>
              </w:rPr>
              <w:t xml:space="preserve">успешность инвестиционной деятельности в каждом субъекте Российской Федерации напрямую определяет устойчивость и динамику экономики всей страны. </w:t>
            </w:r>
            <w:r w:rsidR="56B0C2EC" w:rsidRPr="5064B1A6">
              <w:rPr>
                <w:rFonts w:eastAsiaTheme="minorEastAsia"/>
                <w:sz w:val="28"/>
                <w:szCs w:val="28"/>
              </w:rPr>
              <w:t>Для стимулирования этого процесса Министерство экономического развития РФ активно внедряет широкий спектр универсальных финансовых и нефинансовых инструментов, применимых в любом регионе.</w:t>
            </w:r>
          </w:p>
        </w:tc>
      </w:tr>
      <w:tr w:rsidR="5727EA6E" w14:paraId="538E1EDF" w14:textId="77777777" w:rsidTr="5064B1A6">
        <w:trPr>
          <w:trHeight w:val="300"/>
        </w:trPr>
        <w:tc>
          <w:tcPr>
            <w:tcW w:w="1725" w:type="dxa"/>
          </w:tcPr>
          <w:p w14:paraId="31049B63" w14:textId="2E097690" w:rsidR="33B8C160" w:rsidRDefault="6BFE30BA" w:rsidP="5727EA6E">
            <w:pPr>
              <w:rPr>
                <w:b/>
                <w:bCs/>
                <w:sz w:val="28"/>
                <w:szCs w:val="28"/>
              </w:rPr>
            </w:pPr>
            <w:r w:rsidRPr="5064B1A6">
              <w:rPr>
                <w:b/>
                <w:bCs/>
                <w:sz w:val="28"/>
                <w:szCs w:val="28"/>
              </w:rPr>
              <w:t xml:space="preserve">Слайд </w:t>
            </w:r>
            <w:r w:rsidR="66444C22" w:rsidRPr="5064B1A6">
              <w:rPr>
                <w:b/>
                <w:bCs/>
                <w:sz w:val="28"/>
                <w:szCs w:val="28"/>
              </w:rPr>
              <w:t>4</w:t>
            </w:r>
          </w:p>
        </w:tc>
        <w:tc>
          <w:tcPr>
            <w:tcW w:w="7290" w:type="dxa"/>
          </w:tcPr>
          <w:p w14:paraId="26288C57" w14:textId="42301802" w:rsidR="72610DFA" w:rsidRDefault="4EFE4B48" w:rsidP="5064B1A6">
            <w:pPr>
              <w:rPr>
                <w:rFonts w:eastAsiaTheme="minorEastAsia"/>
                <w:sz w:val="28"/>
                <w:szCs w:val="28"/>
              </w:rPr>
            </w:pPr>
            <w:r w:rsidRPr="5064B1A6">
              <w:rPr>
                <w:rFonts w:eastAsiaTheme="minorEastAsia"/>
                <w:sz w:val="28"/>
                <w:szCs w:val="28"/>
              </w:rPr>
              <w:t xml:space="preserve">Современная инвестиционная политика наиболее экономически развитых стран мира — США, государств Европы и Азии — характеризуется четкой ориентацией на инновации, цифровизацию и поддержку "зеленых" отраслей. При этом ключевым мировым трендом является гибкое сочетание двух подходов. С одной стороны, в США и европейских странах наблюдается масштабная </w:t>
            </w:r>
            <w:r w:rsidRPr="5064B1A6">
              <w:rPr>
                <w:rFonts w:eastAsiaTheme="minorEastAsia"/>
                <w:sz w:val="28"/>
                <w:szCs w:val="28"/>
              </w:rPr>
              <w:lastRenderedPageBreak/>
              <w:t>либерализация в неприоритетных отраслях с внедрением различных мер стимулирования. С другой стороны, в странах Азиатского региона и тех же США происходит жесткий переход к протекционизму в стратегически важных сферах, затрагивающих передовые технологии и ключевое сырье.</w:t>
            </w:r>
          </w:p>
        </w:tc>
      </w:tr>
      <w:tr w:rsidR="5727EA6E" w14:paraId="7DA28144" w14:textId="77777777" w:rsidTr="5064B1A6">
        <w:trPr>
          <w:trHeight w:val="300"/>
        </w:trPr>
        <w:tc>
          <w:tcPr>
            <w:tcW w:w="1725" w:type="dxa"/>
          </w:tcPr>
          <w:p w14:paraId="1A2FE427" w14:textId="274A357D" w:rsidR="33B8C160" w:rsidRDefault="6BFE30BA" w:rsidP="5727EA6E">
            <w:pPr>
              <w:rPr>
                <w:b/>
                <w:bCs/>
                <w:sz w:val="28"/>
                <w:szCs w:val="28"/>
              </w:rPr>
            </w:pPr>
            <w:r w:rsidRPr="5064B1A6">
              <w:rPr>
                <w:b/>
                <w:bCs/>
                <w:sz w:val="28"/>
                <w:szCs w:val="28"/>
              </w:rPr>
              <w:lastRenderedPageBreak/>
              <w:t xml:space="preserve">Слайд </w:t>
            </w:r>
            <w:r w:rsidR="34BCCF82" w:rsidRPr="5064B1A6">
              <w:rPr>
                <w:b/>
                <w:bCs/>
                <w:sz w:val="28"/>
                <w:szCs w:val="28"/>
              </w:rPr>
              <w:t>5</w:t>
            </w:r>
          </w:p>
        </w:tc>
        <w:tc>
          <w:tcPr>
            <w:tcW w:w="7290" w:type="dxa"/>
          </w:tcPr>
          <w:p w14:paraId="66C6F6A3" w14:textId="0FA6ADBA" w:rsidR="7EAB2BB5" w:rsidRDefault="22A1B0A9" w:rsidP="5064B1A6">
            <w:pPr>
              <w:rPr>
                <w:rFonts w:ascii="Times New Roman" w:eastAsia="Times New Roman" w:hAnsi="Times New Roman" w:cs="Times New Roman"/>
                <w:sz w:val="28"/>
                <w:szCs w:val="28"/>
              </w:rPr>
            </w:pPr>
            <w:r w:rsidRPr="5064B1A6">
              <w:rPr>
                <w:sz w:val="28"/>
                <w:szCs w:val="28"/>
              </w:rPr>
              <w:t xml:space="preserve">Россия характеризуется сходством с успешными странами, в которых широко развита инвестиционная деятельность. Так, сходствами выступают такие аспекты, как активное внедрение схожих механизмов стимуляции (создание преференциальных режимов, финансовые и налоговые льготы, инфраструктурная поддержка), а также ориентация проектов на достижение национального суверенитета. Ключевыми отличиями является факт того, что «озеленение» инвестиционной деятельности пока что носит рекомендательный характер. Также можно отметить практически полную приостановку привлечения западного инвестирования, на смену которого пришло инвестирование из стран БРИКС, Азии и Африки. </w:t>
            </w:r>
            <w:r w:rsidRPr="5064B1A6">
              <w:rPr>
                <w:rFonts w:ascii="Times New Roman" w:eastAsia="Times New Roman" w:hAnsi="Times New Roman" w:cs="Times New Roman"/>
                <w:color w:val="000000" w:themeColor="text1"/>
                <w:sz w:val="28"/>
                <w:szCs w:val="28"/>
              </w:rPr>
              <w:t>Для оценки развития и устойчивости отечественной инвестиционной системы можно рассмотреть показатели</w:t>
            </w:r>
            <w:r w:rsidR="2087E349" w:rsidRPr="5064B1A6">
              <w:rPr>
                <w:rFonts w:ascii="Times New Roman" w:eastAsia="Times New Roman" w:hAnsi="Times New Roman" w:cs="Times New Roman"/>
                <w:color w:val="000000" w:themeColor="text1"/>
                <w:sz w:val="28"/>
                <w:szCs w:val="28"/>
              </w:rPr>
              <w:t>, предоставленные информационным агентством INFOline,</w:t>
            </w:r>
            <w:r w:rsidR="30C41795" w:rsidRPr="5064B1A6">
              <w:rPr>
                <w:rFonts w:ascii="Times New Roman" w:eastAsia="Times New Roman" w:hAnsi="Times New Roman" w:cs="Times New Roman"/>
                <w:color w:val="000000" w:themeColor="text1"/>
                <w:sz w:val="28"/>
                <w:szCs w:val="28"/>
              </w:rPr>
              <w:t xml:space="preserve"> показывающие количество</w:t>
            </w:r>
            <w:r w:rsidR="2087E349" w:rsidRPr="5064B1A6">
              <w:rPr>
                <w:rFonts w:ascii="Times New Roman" w:eastAsia="Times New Roman" w:hAnsi="Times New Roman" w:cs="Times New Roman"/>
                <w:color w:val="000000" w:themeColor="text1"/>
                <w:sz w:val="28"/>
                <w:szCs w:val="28"/>
              </w:rPr>
              <w:t xml:space="preserve"> </w:t>
            </w:r>
            <w:r w:rsidRPr="5064B1A6">
              <w:rPr>
                <w:rFonts w:ascii="Times New Roman" w:eastAsia="Times New Roman" w:hAnsi="Times New Roman" w:cs="Times New Roman"/>
                <w:color w:val="000000" w:themeColor="text1"/>
                <w:sz w:val="28"/>
                <w:szCs w:val="28"/>
              </w:rPr>
              <w:t>запущенных инвестиционных проектов</w:t>
            </w:r>
            <w:r w:rsidR="35A900B4" w:rsidRPr="5064B1A6">
              <w:rPr>
                <w:rFonts w:ascii="Times New Roman" w:eastAsia="Times New Roman" w:hAnsi="Times New Roman" w:cs="Times New Roman"/>
                <w:color w:val="000000" w:themeColor="text1"/>
                <w:sz w:val="28"/>
                <w:szCs w:val="28"/>
              </w:rPr>
              <w:t xml:space="preserve">. Данные </w:t>
            </w:r>
            <w:r w:rsidRPr="5064B1A6">
              <w:rPr>
                <w:rFonts w:ascii="Times New Roman" w:eastAsia="Times New Roman" w:hAnsi="Times New Roman" w:cs="Times New Roman"/>
                <w:color w:val="000000" w:themeColor="text1"/>
                <w:sz w:val="28"/>
                <w:szCs w:val="28"/>
              </w:rPr>
              <w:t xml:space="preserve">показывают </w:t>
            </w:r>
            <w:r w:rsidR="45821A15" w:rsidRPr="5064B1A6">
              <w:rPr>
                <w:rFonts w:ascii="Times New Roman" w:eastAsia="Times New Roman" w:hAnsi="Times New Roman" w:cs="Times New Roman"/>
                <w:color w:val="000000" w:themeColor="text1"/>
                <w:sz w:val="28"/>
                <w:szCs w:val="28"/>
              </w:rPr>
              <w:t xml:space="preserve">общую </w:t>
            </w:r>
            <w:r w:rsidRPr="5064B1A6">
              <w:rPr>
                <w:rFonts w:ascii="Times New Roman" w:eastAsia="Times New Roman" w:hAnsi="Times New Roman" w:cs="Times New Roman"/>
                <w:color w:val="000000" w:themeColor="text1"/>
                <w:sz w:val="28"/>
                <w:szCs w:val="28"/>
              </w:rPr>
              <w:t>положительную динамику</w:t>
            </w:r>
            <w:r w:rsidR="3D5FE53F" w:rsidRPr="5064B1A6">
              <w:rPr>
                <w:rFonts w:ascii="Times New Roman" w:eastAsia="Times New Roman" w:hAnsi="Times New Roman" w:cs="Times New Roman"/>
                <w:color w:val="000000" w:themeColor="text1"/>
                <w:sz w:val="28"/>
                <w:szCs w:val="28"/>
              </w:rPr>
              <w:t>, сменяющуюся небольшим</w:t>
            </w:r>
            <w:r w:rsidR="1BAC324C" w:rsidRPr="5064B1A6">
              <w:rPr>
                <w:rFonts w:ascii="Times New Roman" w:eastAsia="Times New Roman" w:hAnsi="Times New Roman" w:cs="Times New Roman"/>
                <w:color w:val="000000" w:themeColor="text1"/>
                <w:sz w:val="28"/>
                <w:szCs w:val="28"/>
              </w:rPr>
              <w:t xml:space="preserve"> снижением</w:t>
            </w:r>
            <w:r w:rsidRPr="5064B1A6">
              <w:rPr>
                <w:rFonts w:ascii="Times New Roman" w:eastAsia="Times New Roman" w:hAnsi="Times New Roman" w:cs="Times New Roman"/>
                <w:color w:val="000000" w:themeColor="text1"/>
                <w:sz w:val="28"/>
                <w:szCs w:val="28"/>
              </w:rPr>
              <w:t xml:space="preserve"> за последние 5 лет.</w:t>
            </w:r>
          </w:p>
        </w:tc>
      </w:tr>
      <w:tr w:rsidR="5727EA6E" w14:paraId="5D017099" w14:textId="77777777" w:rsidTr="5064B1A6">
        <w:trPr>
          <w:trHeight w:val="300"/>
        </w:trPr>
        <w:tc>
          <w:tcPr>
            <w:tcW w:w="1725" w:type="dxa"/>
          </w:tcPr>
          <w:p w14:paraId="23B6F6B2" w14:textId="510E55AC" w:rsidR="33B8C160" w:rsidRDefault="6BFE30BA" w:rsidP="5727EA6E">
            <w:pPr>
              <w:rPr>
                <w:b/>
                <w:bCs/>
                <w:sz w:val="28"/>
                <w:szCs w:val="28"/>
              </w:rPr>
            </w:pPr>
            <w:r w:rsidRPr="5064B1A6">
              <w:rPr>
                <w:b/>
                <w:bCs/>
                <w:sz w:val="28"/>
                <w:szCs w:val="28"/>
              </w:rPr>
              <w:t xml:space="preserve">Слайд </w:t>
            </w:r>
            <w:r w:rsidR="76F56B00" w:rsidRPr="5064B1A6">
              <w:rPr>
                <w:b/>
                <w:bCs/>
                <w:sz w:val="28"/>
                <w:szCs w:val="28"/>
              </w:rPr>
              <w:t>6</w:t>
            </w:r>
          </w:p>
        </w:tc>
        <w:tc>
          <w:tcPr>
            <w:tcW w:w="7290" w:type="dxa"/>
          </w:tcPr>
          <w:p w14:paraId="5513CC2F" w14:textId="703053F5" w:rsidR="03974AB6" w:rsidRDefault="6DF48E5D" w:rsidP="5064B1A6">
            <w:pPr>
              <w:rPr>
                <w:sz w:val="28"/>
                <w:szCs w:val="28"/>
              </w:rPr>
            </w:pPr>
            <w:r w:rsidRPr="5064B1A6">
              <w:rPr>
                <w:sz w:val="28"/>
                <w:szCs w:val="28"/>
              </w:rPr>
              <w:t>Анализ модели отбора факторов инвестиционной привлекательности Камчатского края показал, что край обладает высокой привлекательностью для инвесторов определенных сфер (рыбохозяйственный комплекс, горнодобывающая промышленность, туризм) ввиду уникальность его природных ресурсов. Однако некоторые показатели негативно сказываются на инвестпривлекательности, например рост госдолга и дефицита бюджета, а также дефицит квалифицированных кадров создают риск для инвесторов.</w:t>
            </w:r>
          </w:p>
        </w:tc>
      </w:tr>
      <w:tr w:rsidR="5727EA6E" w14:paraId="4E974C1D" w14:textId="77777777" w:rsidTr="5064B1A6">
        <w:trPr>
          <w:trHeight w:val="300"/>
        </w:trPr>
        <w:tc>
          <w:tcPr>
            <w:tcW w:w="1725" w:type="dxa"/>
          </w:tcPr>
          <w:p w14:paraId="12B011C2" w14:textId="5C80E7F6" w:rsidR="33B8C160" w:rsidRDefault="6BFE30BA" w:rsidP="5727EA6E">
            <w:pPr>
              <w:rPr>
                <w:b/>
                <w:bCs/>
                <w:sz w:val="28"/>
                <w:szCs w:val="28"/>
              </w:rPr>
            </w:pPr>
            <w:r w:rsidRPr="5064B1A6">
              <w:rPr>
                <w:b/>
                <w:bCs/>
                <w:sz w:val="28"/>
                <w:szCs w:val="28"/>
              </w:rPr>
              <w:t xml:space="preserve">Слайд </w:t>
            </w:r>
            <w:r w:rsidR="0F3595BF" w:rsidRPr="5064B1A6">
              <w:rPr>
                <w:b/>
                <w:bCs/>
                <w:sz w:val="28"/>
                <w:szCs w:val="28"/>
              </w:rPr>
              <w:t>7</w:t>
            </w:r>
          </w:p>
        </w:tc>
        <w:tc>
          <w:tcPr>
            <w:tcW w:w="7290" w:type="dxa"/>
          </w:tcPr>
          <w:p w14:paraId="03A332B4" w14:textId="38F2200B" w:rsidR="2C6172BC" w:rsidRDefault="67AEF036" w:rsidP="5064B1A6">
            <w:pPr>
              <w:rPr>
                <w:sz w:val="28"/>
                <w:szCs w:val="28"/>
              </w:rPr>
            </w:pPr>
            <w:r w:rsidRPr="5064B1A6">
              <w:rPr>
                <w:sz w:val="28"/>
                <w:szCs w:val="28"/>
              </w:rPr>
              <w:t xml:space="preserve">Анализ динамики развития инвестиционных проектов в Камчатском крае показал, что инвестиционный климат Камчатского края динамично развивается, становясь более привлекательным для инвесторов, что подтверждается растущим количеством инвестпроектов (рост инвестпроектов на активной стадии на 42,5% в 2025 году по сравнению с 2024). </w:t>
            </w:r>
            <w:r w:rsidR="6C71B639" w:rsidRPr="5064B1A6">
              <w:rPr>
                <w:sz w:val="28"/>
                <w:szCs w:val="28"/>
              </w:rPr>
              <w:t xml:space="preserve">За последние 10 лет в Камчатском </w:t>
            </w:r>
            <w:r w:rsidR="6C71B639" w:rsidRPr="5064B1A6">
              <w:rPr>
                <w:sz w:val="28"/>
                <w:szCs w:val="28"/>
              </w:rPr>
              <w:lastRenderedPageBreak/>
              <w:t>кр</w:t>
            </w:r>
            <w:r w:rsidR="4702F825" w:rsidRPr="5064B1A6">
              <w:rPr>
                <w:sz w:val="28"/>
                <w:szCs w:val="28"/>
              </w:rPr>
              <w:t>ае</w:t>
            </w:r>
            <w:r w:rsidR="6C71B639" w:rsidRPr="5064B1A6">
              <w:rPr>
                <w:sz w:val="28"/>
                <w:szCs w:val="28"/>
              </w:rPr>
              <w:t xml:space="preserve"> было реализовано 30 </w:t>
            </w:r>
            <w:r w:rsidR="69C008F8" w:rsidRPr="5064B1A6">
              <w:rPr>
                <w:sz w:val="28"/>
                <w:szCs w:val="28"/>
              </w:rPr>
              <w:t>круп</w:t>
            </w:r>
            <w:r w:rsidR="05002771" w:rsidRPr="5064B1A6">
              <w:rPr>
                <w:sz w:val="28"/>
                <w:szCs w:val="28"/>
              </w:rPr>
              <w:t>ных</w:t>
            </w:r>
            <w:r w:rsidR="69C008F8" w:rsidRPr="5064B1A6">
              <w:rPr>
                <w:sz w:val="28"/>
                <w:szCs w:val="28"/>
              </w:rPr>
              <w:t xml:space="preserve"> инвестиционных проектов с общим объемом инвестиций </w:t>
            </w:r>
            <w:r w:rsidR="3CFB1FC9" w:rsidRPr="5064B1A6">
              <w:rPr>
                <w:sz w:val="28"/>
                <w:szCs w:val="28"/>
              </w:rPr>
              <w:t>около 30 млрд рублей</w:t>
            </w:r>
            <w:r w:rsidR="353FEE7A" w:rsidRPr="5064B1A6">
              <w:rPr>
                <w:sz w:val="28"/>
                <w:szCs w:val="28"/>
              </w:rPr>
              <w:t xml:space="preserve">, основными из которых является </w:t>
            </w:r>
            <w:r w:rsidR="37519A61" w:rsidRPr="5064B1A6">
              <w:rPr>
                <w:sz w:val="28"/>
                <w:szCs w:val="28"/>
              </w:rPr>
              <w:t>строительство нового международного аэропорта</w:t>
            </w:r>
            <w:r w:rsidR="41AFC16D" w:rsidRPr="5064B1A6">
              <w:rPr>
                <w:sz w:val="28"/>
                <w:szCs w:val="28"/>
              </w:rPr>
              <w:t xml:space="preserve"> (12 млрд рублей)</w:t>
            </w:r>
            <w:r w:rsidR="37519A61" w:rsidRPr="5064B1A6">
              <w:rPr>
                <w:sz w:val="28"/>
                <w:szCs w:val="28"/>
              </w:rPr>
              <w:t>,</w:t>
            </w:r>
            <w:r w:rsidR="4D87C682" w:rsidRPr="5064B1A6">
              <w:rPr>
                <w:sz w:val="28"/>
                <w:szCs w:val="28"/>
              </w:rPr>
              <w:t xml:space="preserve"> строительство завод</w:t>
            </w:r>
            <w:r w:rsidR="274990AD" w:rsidRPr="5064B1A6">
              <w:rPr>
                <w:sz w:val="28"/>
                <w:szCs w:val="28"/>
              </w:rPr>
              <w:t>ов</w:t>
            </w:r>
            <w:r w:rsidR="4D87C682" w:rsidRPr="5064B1A6">
              <w:rPr>
                <w:sz w:val="28"/>
                <w:szCs w:val="28"/>
              </w:rPr>
              <w:t xml:space="preserve"> по переработке рыбы </w:t>
            </w:r>
            <w:r w:rsidR="5CBAE429" w:rsidRPr="5064B1A6">
              <w:rPr>
                <w:sz w:val="28"/>
                <w:szCs w:val="28"/>
              </w:rPr>
              <w:t xml:space="preserve">и биоресурсов </w:t>
            </w:r>
            <w:r w:rsidR="4D87C682" w:rsidRPr="5064B1A6">
              <w:rPr>
                <w:sz w:val="28"/>
                <w:szCs w:val="28"/>
              </w:rPr>
              <w:t>(</w:t>
            </w:r>
            <w:r w:rsidR="0D23C4ED" w:rsidRPr="5064B1A6">
              <w:rPr>
                <w:sz w:val="28"/>
                <w:szCs w:val="28"/>
              </w:rPr>
              <w:t>3,4 млрд), строительство тепличного комплекса (</w:t>
            </w:r>
            <w:r w:rsidR="0F67D0DA" w:rsidRPr="5064B1A6">
              <w:rPr>
                <w:sz w:val="28"/>
                <w:szCs w:val="28"/>
              </w:rPr>
              <w:t>2,8 млрд).</w:t>
            </w:r>
            <w:r w:rsidR="37519A61" w:rsidRPr="5064B1A6">
              <w:rPr>
                <w:sz w:val="28"/>
                <w:szCs w:val="28"/>
              </w:rPr>
              <w:t xml:space="preserve"> </w:t>
            </w:r>
          </w:p>
        </w:tc>
      </w:tr>
      <w:tr w:rsidR="5064B1A6" w14:paraId="16959FDE" w14:textId="77777777" w:rsidTr="5064B1A6">
        <w:trPr>
          <w:trHeight w:val="300"/>
        </w:trPr>
        <w:tc>
          <w:tcPr>
            <w:tcW w:w="1725" w:type="dxa"/>
          </w:tcPr>
          <w:p w14:paraId="1DC9181E" w14:textId="6478E9BA" w:rsidR="2201B52C" w:rsidRDefault="2201B52C" w:rsidP="5064B1A6">
            <w:pPr>
              <w:rPr>
                <w:b/>
                <w:bCs/>
                <w:sz w:val="28"/>
                <w:szCs w:val="28"/>
              </w:rPr>
            </w:pPr>
            <w:r w:rsidRPr="5064B1A6">
              <w:rPr>
                <w:b/>
                <w:bCs/>
                <w:sz w:val="28"/>
                <w:szCs w:val="28"/>
              </w:rPr>
              <w:lastRenderedPageBreak/>
              <w:t>Cлайд 8</w:t>
            </w:r>
          </w:p>
        </w:tc>
        <w:tc>
          <w:tcPr>
            <w:tcW w:w="7290" w:type="dxa"/>
          </w:tcPr>
          <w:p w14:paraId="7BF15578" w14:textId="6A15F717" w:rsidR="0C58E9D5" w:rsidRDefault="0C58E9D5" w:rsidP="5064B1A6">
            <w:pPr>
              <w:rPr>
                <w:sz w:val="28"/>
                <w:szCs w:val="28"/>
              </w:rPr>
            </w:pPr>
            <w:r w:rsidRPr="5064B1A6">
              <w:rPr>
                <w:sz w:val="28"/>
                <w:szCs w:val="28"/>
              </w:rPr>
              <w:t>Отраслевая динамика показывает смену приоритетов. Приоритетом в 2015-2021 годы отмечается рыбохозяйственный комплекс. В последние годы (2022-2025) наблюдается резкий рост инвестиционных проектов в отрасли туризма и</w:t>
            </w:r>
          </w:p>
          <w:p w14:paraId="5ABC762D" w14:textId="1F360CA2" w:rsidR="0C58E9D5" w:rsidRDefault="0C58E9D5" w:rsidP="5064B1A6">
            <w:r w:rsidRPr="5064B1A6">
              <w:rPr>
                <w:sz w:val="28"/>
                <w:szCs w:val="28"/>
              </w:rPr>
              <w:t>строительства, что связано с модернизацией инфраструктуры и созданием более комфортных условий жизни населения, а также со стремлением повысить популярность и привлекательность края среди инвесторов благодаря использованию значительного туристического потенциала Камчатского края.</w:t>
            </w:r>
          </w:p>
        </w:tc>
      </w:tr>
      <w:tr w:rsidR="5727EA6E" w14:paraId="58CFA4A9" w14:textId="77777777" w:rsidTr="5064B1A6">
        <w:trPr>
          <w:trHeight w:val="300"/>
        </w:trPr>
        <w:tc>
          <w:tcPr>
            <w:tcW w:w="1725" w:type="dxa"/>
          </w:tcPr>
          <w:p w14:paraId="6AEDF4CB" w14:textId="2AE616F1" w:rsidR="33B8C160" w:rsidRDefault="6BFE30BA" w:rsidP="5727EA6E">
            <w:pPr>
              <w:rPr>
                <w:b/>
                <w:bCs/>
                <w:sz w:val="28"/>
                <w:szCs w:val="28"/>
              </w:rPr>
            </w:pPr>
            <w:r w:rsidRPr="5064B1A6">
              <w:rPr>
                <w:b/>
                <w:bCs/>
                <w:sz w:val="28"/>
                <w:szCs w:val="28"/>
              </w:rPr>
              <w:t xml:space="preserve">Слайд </w:t>
            </w:r>
            <w:r w:rsidR="6EB70BFE" w:rsidRPr="5064B1A6">
              <w:rPr>
                <w:b/>
                <w:bCs/>
                <w:sz w:val="28"/>
                <w:szCs w:val="28"/>
              </w:rPr>
              <w:t>9</w:t>
            </w:r>
          </w:p>
        </w:tc>
        <w:tc>
          <w:tcPr>
            <w:tcW w:w="7290" w:type="dxa"/>
          </w:tcPr>
          <w:p w14:paraId="507D4B43" w14:textId="51DF7B64" w:rsidR="4F819A81" w:rsidRDefault="779FDEDB" w:rsidP="5727EA6E">
            <w:pPr>
              <w:rPr>
                <w:rFonts w:ascii="Times New Roman" w:eastAsia="Times New Roman" w:hAnsi="Times New Roman" w:cs="Times New Roman"/>
                <w:sz w:val="28"/>
                <w:szCs w:val="28"/>
              </w:rPr>
            </w:pPr>
            <w:r w:rsidRPr="5064B1A6">
              <w:rPr>
                <w:rFonts w:ascii="Times New Roman" w:eastAsia="Times New Roman" w:hAnsi="Times New Roman" w:cs="Times New Roman"/>
                <w:color w:val="000000" w:themeColor="text1"/>
                <w:sz w:val="28"/>
                <w:szCs w:val="28"/>
              </w:rPr>
              <w:t>Анализируя сведения, полученные из рейтинговых агентств, можно сделать вывод, что Камчатский край за последние 10 лет сдвинулся из середины рейтингов ближе к началу, занимая более высокие места. Актуальные данные зафиксировали определенное финансовое давление: Оценка Национального Рейтингового Агентства за 2025 год: IC4 (средний уровень инвестиционной привлекательности - первый уровень); Агентство стратегических инициатив за 2025 год: 31 место из 85; Агентство «Эксперт РА» за 2024 год: В-2 (умеренный уровень инвестиционной привлекательности). Несмотря на небольшое общее понижение в рейтингах, Камчатский является активной площадкой для реализации крупных инвестпроектов, несмотря на рост финансовых рисков, связанных с госдолгом.</w:t>
            </w:r>
          </w:p>
        </w:tc>
      </w:tr>
      <w:tr w:rsidR="5727EA6E" w14:paraId="71B3293E" w14:textId="77777777" w:rsidTr="5064B1A6">
        <w:trPr>
          <w:trHeight w:val="300"/>
        </w:trPr>
        <w:tc>
          <w:tcPr>
            <w:tcW w:w="1725" w:type="dxa"/>
          </w:tcPr>
          <w:p w14:paraId="5F37DF73" w14:textId="2DF500E9" w:rsidR="33B8C160" w:rsidRDefault="6BFE30BA" w:rsidP="5727EA6E">
            <w:pPr>
              <w:rPr>
                <w:b/>
                <w:bCs/>
                <w:sz w:val="28"/>
                <w:szCs w:val="28"/>
              </w:rPr>
            </w:pPr>
            <w:r w:rsidRPr="5064B1A6">
              <w:rPr>
                <w:b/>
                <w:bCs/>
                <w:sz w:val="28"/>
                <w:szCs w:val="28"/>
              </w:rPr>
              <w:t xml:space="preserve">Слайд </w:t>
            </w:r>
            <w:r w:rsidR="1DE3F8D1" w:rsidRPr="5064B1A6">
              <w:rPr>
                <w:b/>
                <w:bCs/>
                <w:sz w:val="28"/>
                <w:szCs w:val="28"/>
              </w:rPr>
              <w:t>10</w:t>
            </w:r>
          </w:p>
        </w:tc>
        <w:tc>
          <w:tcPr>
            <w:tcW w:w="7290" w:type="dxa"/>
          </w:tcPr>
          <w:p w14:paraId="5A4C8EEA" w14:textId="59973967" w:rsidR="6266EA76" w:rsidRDefault="6266EA76" w:rsidP="5727EA6E">
            <w:pPr>
              <w:rPr>
                <w:rFonts w:ascii="Times New Roman" w:eastAsia="Times New Roman" w:hAnsi="Times New Roman" w:cs="Times New Roman"/>
                <w:sz w:val="28"/>
                <w:szCs w:val="28"/>
              </w:rPr>
            </w:pPr>
            <w:r w:rsidRPr="5727EA6E">
              <w:rPr>
                <w:sz w:val="28"/>
                <w:szCs w:val="28"/>
              </w:rPr>
              <w:t xml:space="preserve">Для эконометрического анализа влияния инвестиций в региональном развитии Камчатского края нами было использовано две метода: </w:t>
            </w:r>
            <w:r w:rsidR="120AF557" w:rsidRPr="5727EA6E">
              <w:rPr>
                <w:sz w:val="28"/>
                <w:szCs w:val="28"/>
              </w:rPr>
              <w:t xml:space="preserve">метод </w:t>
            </w:r>
            <w:r w:rsidR="120AF557" w:rsidRPr="5727EA6E">
              <w:rPr>
                <w:rFonts w:ascii="Times New Roman" w:eastAsia="Times New Roman" w:hAnsi="Times New Roman" w:cs="Times New Roman"/>
                <w:color w:val="000000" w:themeColor="text1"/>
                <w:sz w:val="28"/>
                <w:szCs w:val="28"/>
              </w:rPr>
              <w:t>инкрементального капиталоемкого коэффициента (ICOR) и расчет кумулятивного мультипликатора (M).</w:t>
            </w:r>
            <w:r w:rsidR="5662D1AE" w:rsidRPr="5727EA6E">
              <w:rPr>
                <w:rFonts w:ascii="Times New Roman" w:eastAsia="Times New Roman" w:hAnsi="Times New Roman" w:cs="Times New Roman"/>
                <w:color w:val="000000" w:themeColor="text1"/>
                <w:sz w:val="28"/>
                <w:szCs w:val="28"/>
              </w:rPr>
              <w:t xml:space="preserve"> Р</w:t>
            </w:r>
            <w:r w:rsidR="5662D1AE" w:rsidRPr="5727EA6E">
              <w:rPr>
                <w:rFonts w:eastAsiaTheme="minorEastAsia"/>
                <w:sz w:val="28"/>
                <w:szCs w:val="28"/>
              </w:rPr>
              <w:t xml:space="preserve">асчет кумулятивного мультипликатора показал значение 0,42. Это означает, что каждый вложенный за последние 9 лет рубль принес региону 42 копейки ежегодного прироста ВРП. Для удаленного субъекта с суровым климатом и дорогой логистикой — это показатель высокой </w:t>
            </w:r>
            <w:r w:rsidR="5662D1AE" w:rsidRPr="5727EA6E">
              <w:rPr>
                <w:rFonts w:eastAsiaTheme="minorEastAsia"/>
                <w:sz w:val="28"/>
                <w:szCs w:val="28"/>
              </w:rPr>
              <w:lastRenderedPageBreak/>
              <w:t xml:space="preserve">инвестиционной отдачи. </w:t>
            </w:r>
            <w:r w:rsidR="6DE8203F" w:rsidRPr="5727EA6E">
              <w:rPr>
                <w:rFonts w:eastAsiaTheme="minorEastAsia"/>
                <w:sz w:val="28"/>
                <w:szCs w:val="28"/>
              </w:rPr>
              <w:t>Второй показатель — коэффициент ICOR — в пиковый период составил 5,47. Для Камчатки такой высокий коэффициент является признаком не неэффективности, а масштабной структурной перестройки экономики. Регион перешел к строительству крупных капиталоемких объектов с долгосрочной окупаемостью: новых заводов, портов и терминала аэропорта.</w:t>
            </w:r>
          </w:p>
        </w:tc>
      </w:tr>
      <w:tr w:rsidR="5727EA6E" w14:paraId="5A1D9918" w14:textId="77777777" w:rsidTr="5064B1A6">
        <w:trPr>
          <w:trHeight w:val="300"/>
        </w:trPr>
        <w:tc>
          <w:tcPr>
            <w:tcW w:w="1725" w:type="dxa"/>
          </w:tcPr>
          <w:p w14:paraId="2A2DE9B7" w14:textId="79D0FD2F" w:rsidR="4F674F0A" w:rsidRDefault="5D72C529" w:rsidP="5727EA6E">
            <w:pPr>
              <w:rPr>
                <w:b/>
                <w:bCs/>
                <w:sz w:val="28"/>
                <w:szCs w:val="28"/>
              </w:rPr>
            </w:pPr>
            <w:r w:rsidRPr="5064B1A6">
              <w:rPr>
                <w:b/>
                <w:bCs/>
                <w:sz w:val="28"/>
                <w:szCs w:val="28"/>
              </w:rPr>
              <w:lastRenderedPageBreak/>
              <w:t>Слайд 1</w:t>
            </w:r>
            <w:r w:rsidR="330CF353" w:rsidRPr="5064B1A6">
              <w:rPr>
                <w:b/>
                <w:bCs/>
                <w:sz w:val="28"/>
                <w:szCs w:val="28"/>
              </w:rPr>
              <w:t>1</w:t>
            </w:r>
          </w:p>
        </w:tc>
        <w:tc>
          <w:tcPr>
            <w:tcW w:w="7290" w:type="dxa"/>
          </w:tcPr>
          <w:p w14:paraId="28A2B7A3" w14:textId="0E270A76" w:rsidR="64D013D3" w:rsidRDefault="53E6881B" w:rsidP="5064B1A6">
            <w:pPr>
              <w:spacing w:before="180" w:after="240"/>
              <w:rPr>
                <w:rFonts w:eastAsiaTheme="minorEastAsia"/>
                <w:sz w:val="28"/>
                <w:szCs w:val="28"/>
              </w:rPr>
            </w:pPr>
            <w:r w:rsidRPr="5064B1A6">
              <w:rPr>
                <w:rFonts w:eastAsiaTheme="minorEastAsia"/>
                <w:sz w:val="28"/>
                <w:szCs w:val="28"/>
              </w:rPr>
              <w:t xml:space="preserve">В заключение </w:t>
            </w:r>
            <w:r w:rsidR="00304811">
              <w:rPr>
                <w:rFonts w:eastAsiaTheme="minorEastAsia"/>
                <w:sz w:val="28"/>
                <w:szCs w:val="28"/>
              </w:rPr>
              <w:t>моей</w:t>
            </w:r>
            <w:r w:rsidRPr="5064B1A6">
              <w:rPr>
                <w:rFonts w:eastAsiaTheme="minorEastAsia"/>
                <w:sz w:val="28"/>
                <w:szCs w:val="28"/>
              </w:rPr>
              <w:t xml:space="preserve"> работы сформулированы следующие основные результаты: во-первых, доказано, что устойчивость экономики страны напрямую зависит от гибкости инвестиционной политики в ее субъектах. Во-вторых, комплексный анализ Камчатского края подтвердил колоссальный 10-летний прогресс региона в национальных рейтингах и смену отраслевых приоритетов в сторону туризма и гражданского строительства. Наконец, проведенные эконометрические расчеты подтвердили высокую отдачу каждого вложенного рубля. Текущая капиталоемкость региона связана не с неэффективностью, а с глубоким структурным сдвигом — переходом Камчатки к строительству сложнейших инфраструктурных объектов с долгосрочной окупаемостью.</w:t>
            </w:r>
          </w:p>
        </w:tc>
      </w:tr>
      <w:tr w:rsidR="5727EA6E" w14:paraId="62A5035F" w14:textId="77777777" w:rsidTr="5064B1A6">
        <w:trPr>
          <w:trHeight w:val="300"/>
        </w:trPr>
        <w:tc>
          <w:tcPr>
            <w:tcW w:w="1725" w:type="dxa"/>
          </w:tcPr>
          <w:p w14:paraId="35CD1BAF" w14:textId="31C485AF" w:rsidR="33B8C160" w:rsidRDefault="6BFE30BA" w:rsidP="5727EA6E">
            <w:pPr>
              <w:rPr>
                <w:b/>
                <w:bCs/>
                <w:sz w:val="28"/>
                <w:szCs w:val="28"/>
              </w:rPr>
            </w:pPr>
            <w:r w:rsidRPr="5064B1A6">
              <w:rPr>
                <w:b/>
                <w:bCs/>
                <w:sz w:val="28"/>
                <w:szCs w:val="28"/>
              </w:rPr>
              <w:t>Слайд 1</w:t>
            </w:r>
            <w:r w:rsidR="4FE99C68" w:rsidRPr="5064B1A6">
              <w:rPr>
                <w:b/>
                <w:bCs/>
                <w:sz w:val="28"/>
                <w:szCs w:val="28"/>
              </w:rPr>
              <w:t>2</w:t>
            </w:r>
          </w:p>
        </w:tc>
        <w:tc>
          <w:tcPr>
            <w:tcW w:w="7290" w:type="dxa"/>
          </w:tcPr>
          <w:p w14:paraId="770B08A9" w14:textId="3C24B02D" w:rsidR="279F069C" w:rsidRDefault="279F069C" w:rsidP="5727EA6E">
            <w:pPr>
              <w:rPr>
                <w:sz w:val="28"/>
                <w:szCs w:val="28"/>
              </w:rPr>
            </w:pPr>
            <w:r w:rsidRPr="5727EA6E">
              <w:rPr>
                <w:sz w:val="28"/>
                <w:szCs w:val="28"/>
              </w:rPr>
              <w:t>Доклад окончен. Спасибо за внимание!</w:t>
            </w:r>
          </w:p>
        </w:tc>
      </w:tr>
    </w:tbl>
    <w:p w14:paraId="23684D1E" w14:textId="4195AE1A" w:rsidR="5727EA6E" w:rsidRDefault="5727EA6E" w:rsidP="5727EA6E">
      <w:pPr>
        <w:rPr>
          <w:b/>
          <w:bCs/>
          <w:sz w:val="28"/>
          <w:szCs w:val="28"/>
        </w:rPr>
      </w:pPr>
    </w:p>
    <w:sectPr w:rsidR="5727EA6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49D5A9"/>
    <w:rsid w:val="00304811"/>
    <w:rsid w:val="00CF20A4"/>
    <w:rsid w:val="0161F5C6"/>
    <w:rsid w:val="023360BA"/>
    <w:rsid w:val="0280C5D8"/>
    <w:rsid w:val="02999A30"/>
    <w:rsid w:val="02ECC13E"/>
    <w:rsid w:val="03480E87"/>
    <w:rsid w:val="0394CE0D"/>
    <w:rsid w:val="03974AB6"/>
    <w:rsid w:val="04215395"/>
    <w:rsid w:val="04AD585D"/>
    <w:rsid w:val="04E48D49"/>
    <w:rsid w:val="05002771"/>
    <w:rsid w:val="0559006B"/>
    <w:rsid w:val="05CA5D1D"/>
    <w:rsid w:val="0629CD9C"/>
    <w:rsid w:val="0711E5A9"/>
    <w:rsid w:val="089FE30D"/>
    <w:rsid w:val="08D29694"/>
    <w:rsid w:val="08F881F2"/>
    <w:rsid w:val="09CC3FFE"/>
    <w:rsid w:val="0A53C3DC"/>
    <w:rsid w:val="0AE9116F"/>
    <w:rsid w:val="0B3803FA"/>
    <w:rsid w:val="0B3A149D"/>
    <w:rsid w:val="0B52B95A"/>
    <w:rsid w:val="0C58E9D5"/>
    <w:rsid w:val="0D09FC94"/>
    <w:rsid w:val="0D23C4ED"/>
    <w:rsid w:val="0D2E9322"/>
    <w:rsid w:val="0D4350F0"/>
    <w:rsid w:val="0DD20052"/>
    <w:rsid w:val="0F3595BF"/>
    <w:rsid w:val="0F67D0DA"/>
    <w:rsid w:val="0FAE8DBA"/>
    <w:rsid w:val="0FB24223"/>
    <w:rsid w:val="106AD89B"/>
    <w:rsid w:val="115C5DD6"/>
    <w:rsid w:val="11A87159"/>
    <w:rsid w:val="11E3AAEA"/>
    <w:rsid w:val="120AF557"/>
    <w:rsid w:val="12B237E1"/>
    <w:rsid w:val="13410FF3"/>
    <w:rsid w:val="135862E9"/>
    <w:rsid w:val="13D496DE"/>
    <w:rsid w:val="14029621"/>
    <w:rsid w:val="14FD14B5"/>
    <w:rsid w:val="156E3CD4"/>
    <w:rsid w:val="15B0F3CA"/>
    <w:rsid w:val="16E866F1"/>
    <w:rsid w:val="18815C2C"/>
    <w:rsid w:val="189BD703"/>
    <w:rsid w:val="18A84108"/>
    <w:rsid w:val="193E4FD0"/>
    <w:rsid w:val="19CB1B3D"/>
    <w:rsid w:val="19F2E113"/>
    <w:rsid w:val="1A4B2821"/>
    <w:rsid w:val="1B428424"/>
    <w:rsid w:val="1BAC324C"/>
    <w:rsid w:val="1C80A157"/>
    <w:rsid w:val="1DE3F8D1"/>
    <w:rsid w:val="1DE53603"/>
    <w:rsid w:val="1E5062B9"/>
    <w:rsid w:val="1E538864"/>
    <w:rsid w:val="1EDF9F4A"/>
    <w:rsid w:val="1F85B6DC"/>
    <w:rsid w:val="1F89F0ED"/>
    <w:rsid w:val="1FF2CF10"/>
    <w:rsid w:val="20318F69"/>
    <w:rsid w:val="204BF80D"/>
    <w:rsid w:val="204ED3D8"/>
    <w:rsid w:val="2087E349"/>
    <w:rsid w:val="215A212A"/>
    <w:rsid w:val="21B3C841"/>
    <w:rsid w:val="21DA7548"/>
    <w:rsid w:val="21E00C61"/>
    <w:rsid w:val="21E86E01"/>
    <w:rsid w:val="2201B52C"/>
    <w:rsid w:val="225F38F2"/>
    <w:rsid w:val="22A1B0A9"/>
    <w:rsid w:val="22D9F975"/>
    <w:rsid w:val="238D9688"/>
    <w:rsid w:val="23931290"/>
    <w:rsid w:val="2419E9F5"/>
    <w:rsid w:val="241B77A7"/>
    <w:rsid w:val="2449D5A9"/>
    <w:rsid w:val="24617248"/>
    <w:rsid w:val="24B43758"/>
    <w:rsid w:val="25A506E1"/>
    <w:rsid w:val="25CEC4B7"/>
    <w:rsid w:val="2681E174"/>
    <w:rsid w:val="26D9EE91"/>
    <w:rsid w:val="272AB4BD"/>
    <w:rsid w:val="274990AD"/>
    <w:rsid w:val="279F069C"/>
    <w:rsid w:val="27A19960"/>
    <w:rsid w:val="28002194"/>
    <w:rsid w:val="29228240"/>
    <w:rsid w:val="2A21DCB4"/>
    <w:rsid w:val="2AE72332"/>
    <w:rsid w:val="2AEFFADC"/>
    <w:rsid w:val="2B20D846"/>
    <w:rsid w:val="2C6172BC"/>
    <w:rsid w:val="2C972730"/>
    <w:rsid w:val="2D44CA51"/>
    <w:rsid w:val="2DDD0A9A"/>
    <w:rsid w:val="2E0ADE64"/>
    <w:rsid w:val="2E75B5A1"/>
    <w:rsid w:val="300EF92B"/>
    <w:rsid w:val="30C41795"/>
    <w:rsid w:val="30DC0BC8"/>
    <w:rsid w:val="315F2CF7"/>
    <w:rsid w:val="32149D41"/>
    <w:rsid w:val="330CF353"/>
    <w:rsid w:val="33B8C160"/>
    <w:rsid w:val="33C27B6A"/>
    <w:rsid w:val="3441E1DA"/>
    <w:rsid w:val="34BCCF82"/>
    <w:rsid w:val="353FEE7A"/>
    <w:rsid w:val="3548D0E1"/>
    <w:rsid w:val="35A900B4"/>
    <w:rsid w:val="365320CB"/>
    <w:rsid w:val="367F1AF4"/>
    <w:rsid w:val="372EC2E8"/>
    <w:rsid w:val="37519A61"/>
    <w:rsid w:val="38288BC1"/>
    <w:rsid w:val="3AF38A3A"/>
    <w:rsid w:val="3BAC1909"/>
    <w:rsid w:val="3BD837B2"/>
    <w:rsid w:val="3CFB1FC9"/>
    <w:rsid w:val="3D42AE87"/>
    <w:rsid w:val="3D5FE53F"/>
    <w:rsid w:val="3D67CEDC"/>
    <w:rsid w:val="3E933C20"/>
    <w:rsid w:val="3EE254FA"/>
    <w:rsid w:val="3EE328C1"/>
    <w:rsid w:val="3F2B114A"/>
    <w:rsid w:val="3F76A758"/>
    <w:rsid w:val="3F7B3654"/>
    <w:rsid w:val="3F8A5021"/>
    <w:rsid w:val="40386AB2"/>
    <w:rsid w:val="41AFC16D"/>
    <w:rsid w:val="423E1C79"/>
    <w:rsid w:val="42E40546"/>
    <w:rsid w:val="43248E0B"/>
    <w:rsid w:val="43ACAC1B"/>
    <w:rsid w:val="44501139"/>
    <w:rsid w:val="45221833"/>
    <w:rsid w:val="452950AA"/>
    <w:rsid w:val="4539AA3F"/>
    <w:rsid w:val="456BCE54"/>
    <w:rsid w:val="456ED1EC"/>
    <w:rsid w:val="45821A15"/>
    <w:rsid w:val="4702F825"/>
    <w:rsid w:val="47855894"/>
    <w:rsid w:val="48819DB9"/>
    <w:rsid w:val="48DBC8B9"/>
    <w:rsid w:val="493E5CC6"/>
    <w:rsid w:val="49599A55"/>
    <w:rsid w:val="4AD188BE"/>
    <w:rsid w:val="4AF48356"/>
    <w:rsid w:val="4B1FD19C"/>
    <w:rsid w:val="4B92BCBC"/>
    <w:rsid w:val="4BFB2A27"/>
    <w:rsid w:val="4D87C682"/>
    <w:rsid w:val="4E4D9506"/>
    <w:rsid w:val="4EBAD3AE"/>
    <w:rsid w:val="4EFE4B48"/>
    <w:rsid w:val="4F674F0A"/>
    <w:rsid w:val="4F819A81"/>
    <w:rsid w:val="4F9FBD46"/>
    <w:rsid w:val="4FE99C68"/>
    <w:rsid w:val="504D8BF9"/>
    <w:rsid w:val="5064B1A6"/>
    <w:rsid w:val="5134D8FA"/>
    <w:rsid w:val="513E8FAB"/>
    <w:rsid w:val="523A6B31"/>
    <w:rsid w:val="52FD5EAE"/>
    <w:rsid w:val="5355467B"/>
    <w:rsid w:val="53E6881B"/>
    <w:rsid w:val="5434C55D"/>
    <w:rsid w:val="547F7D4E"/>
    <w:rsid w:val="55687614"/>
    <w:rsid w:val="55C42CD8"/>
    <w:rsid w:val="55CB133C"/>
    <w:rsid w:val="5662D1AE"/>
    <w:rsid w:val="566C2840"/>
    <w:rsid w:val="56AF3D1F"/>
    <w:rsid w:val="56B0C2EC"/>
    <w:rsid w:val="5727EA6E"/>
    <w:rsid w:val="577106FA"/>
    <w:rsid w:val="57C2DFED"/>
    <w:rsid w:val="5808F410"/>
    <w:rsid w:val="581FF4C2"/>
    <w:rsid w:val="58664DA8"/>
    <w:rsid w:val="599C8AA2"/>
    <w:rsid w:val="5A14DBAD"/>
    <w:rsid w:val="5CBAE429"/>
    <w:rsid w:val="5CDC50A8"/>
    <w:rsid w:val="5CE1A1EC"/>
    <w:rsid w:val="5D72C529"/>
    <w:rsid w:val="5DA8AB47"/>
    <w:rsid w:val="5DDD653E"/>
    <w:rsid w:val="5DEC12FD"/>
    <w:rsid w:val="5EB6EFC3"/>
    <w:rsid w:val="5F6B1F78"/>
    <w:rsid w:val="6041E682"/>
    <w:rsid w:val="6077A271"/>
    <w:rsid w:val="60FBD4AE"/>
    <w:rsid w:val="61209D4E"/>
    <w:rsid w:val="6150BFC9"/>
    <w:rsid w:val="6266EA76"/>
    <w:rsid w:val="62B7A5D0"/>
    <w:rsid w:val="634C33B6"/>
    <w:rsid w:val="63E5DE80"/>
    <w:rsid w:val="6442F8E8"/>
    <w:rsid w:val="645A92E0"/>
    <w:rsid w:val="645C1EBE"/>
    <w:rsid w:val="64D013D3"/>
    <w:rsid w:val="65CBB575"/>
    <w:rsid w:val="6612B28D"/>
    <w:rsid w:val="66444C22"/>
    <w:rsid w:val="665E60AB"/>
    <w:rsid w:val="66FB4156"/>
    <w:rsid w:val="67AEF036"/>
    <w:rsid w:val="681A4C0A"/>
    <w:rsid w:val="685F4316"/>
    <w:rsid w:val="68AACB37"/>
    <w:rsid w:val="68B2333D"/>
    <w:rsid w:val="68DB67AB"/>
    <w:rsid w:val="69463197"/>
    <w:rsid w:val="69C008F8"/>
    <w:rsid w:val="6A04AE5B"/>
    <w:rsid w:val="6AB32A2C"/>
    <w:rsid w:val="6AE620FD"/>
    <w:rsid w:val="6BFE30BA"/>
    <w:rsid w:val="6C594A87"/>
    <w:rsid w:val="6C71B639"/>
    <w:rsid w:val="6CDEBC7C"/>
    <w:rsid w:val="6CF0000C"/>
    <w:rsid w:val="6D77E0D4"/>
    <w:rsid w:val="6D978928"/>
    <w:rsid w:val="6DE8203F"/>
    <w:rsid w:val="6DF48E5D"/>
    <w:rsid w:val="6E7DC7D2"/>
    <w:rsid w:val="6E89B465"/>
    <w:rsid w:val="6EB70BFE"/>
    <w:rsid w:val="6EC4DE02"/>
    <w:rsid w:val="6F2045C2"/>
    <w:rsid w:val="7080C7D2"/>
    <w:rsid w:val="70B5284E"/>
    <w:rsid w:val="70C266AD"/>
    <w:rsid w:val="70CEED26"/>
    <w:rsid w:val="70FFB980"/>
    <w:rsid w:val="71579EF3"/>
    <w:rsid w:val="7212AD73"/>
    <w:rsid w:val="721348AA"/>
    <w:rsid w:val="72610DFA"/>
    <w:rsid w:val="728CD983"/>
    <w:rsid w:val="72B36C54"/>
    <w:rsid w:val="73B9982C"/>
    <w:rsid w:val="748ECF3E"/>
    <w:rsid w:val="7494B45B"/>
    <w:rsid w:val="7587A845"/>
    <w:rsid w:val="761C2F53"/>
    <w:rsid w:val="76F56B00"/>
    <w:rsid w:val="7719FF27"/>
    <w:rsid w:val="779FDEDB"/>
    <w:rsid w:val="78C23D61"/>
    <w:rsid w:val="7A64A1B0"/>
    <w:rsid w:val="7B659BF5"/>
    <w:rsid w:val="7D422268"/>
    <w:rsid w:val="7D995C7D"/>
    <w:rsid w:val="7DE73C6F"/>
    <w:rsid w:val="7E603BBE"/>
    <w:rsid w:val="7E61553F"/>
    <w:rsid w:val="7EAB2BB5"/>
    <w:rsid w:val="7F8F4D23"/>
    <w:rsid w:val="7FB02F78"/>
    <w:rsid w:val="7FB5F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7343E"/>
  <w15:chartTrackingRefBased/>
  <w15:docId w15:val="{4C93E81A-5D71-4B35-94CF-87604D784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1095</Words>
  <Characters>6246</Characters>
  <Application>Microsoft Office Word</Application>
  <DocSecurity>0</DocSecurity>
  <Lines>52</Lines>
  <Paragraphs>14</Paragraphs>
  <ScaleCrop>false</ScaleCrop>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katyak311219@gmail.com</dc:creator>
  <cp:keywords/>
  <dc:description/>
  <cp:lastModifiedBy>mikhailshumilin@outlook.com</cp:lastModifiedBy>
  <cp:revision>2</cp:revision>
  <dcterms:created xsi:type="dcterms:W3CDTF">2026-06-03T14:29:00Z</dcterms:created>
  <dcterms:modified xsi:type="dcterms:W3CDTF">2026-06-17T09:38:00Z</dcterms:modified>
</cp:coreProperties>
</file>